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B6A" w:rsidRDefault="00F20B6A" w:rsidP="00F20B6A">
      <w:pPr>
        <w:autoSpaceDE w:val="0"/>
        <w:autoSpaceDN w:val="0"/>
        <w:adjustRightInd w:val="0"/>
        <w:spacing w:line="660" w:lineRule="atLeast"/>
        <w:jc w:val="center"/>
        <w:rPr>
          <w:rFonts w:ascii="宋体" w:cs="宋体"/>
          <w:b/>
          <w:bCs/>
          <w:spacing w:val="-20"/>
          <w:kern w:val="0"/>
          <w:sz w:val="44"/>
          <w:szCs w:val="44"/>
          <w:lang w:val="zh-CN"/>
        </w:rPr>
      </w:pPr>
      <w:r>
        <w:rPr>
          <w:b/>
          <w:bCs/>
          <w:spacing w:val="-20"/>
          <w:kern w:val="0"/>
          <w:sz w:val="44"/>
          <w:szCs w:val="44"/>
        </w:rPr>
        <w:t>2019</w:t>
      </w:r>
      <w:r>
        <w:rPr>
          <w:rFonts w:ascii="宋体" w:cs="宋体" w:hint="eastAsia"/>
          <w:b/>
          <w:bCs/>
          <w:spacing w:val="-20"/>
          <w:kern w:val="0"/>
          <w:sz w:val="44"/>
          <w:szCs w:val="44"/>
          <w:lang w:val="zh-CN"/>
        </w:rPr>
        <w:t>年度省部共建放射医学与辐射防护国家重点实验室开放课题一览表</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56"/>
        <w:gridCol w:w="698"/>
        <w:gridCol w:w="975"/>
        <w:gridCol w:w="2092"/>
        <w:gridCol w:w="6000"/>
        <w:gridCol w:w="837"/>
        <w:gridCol w:w="1425"/>
        <w:tblGridChange w:id="1">
          <w:tblGrid>
            <w:gridCol w:w="665"/>
            <w:gridCol w:w="1256"/>
            <w:gridCol w:w="698"/>
            <w:gridCol w:w="975"/>
            <w:gridCol w:w="2092"/>
            <w:gridCol w:w="6000"/>
            <w:gridCol w:w="837"/>
            <w:gridCol w:w="1425"/>
          </w:tblGrid>
        </w:tblGridChange>
      </w:tblGrid>
      <w:tr w:rsidR="00F20B6A" w:rsidRPr="00B12BE8" w:rsidTr="008B3114">
        <w:trPr>
          <w:trHeight w:val="570"/>
        </w:trPr>
        <w:tc>
          <w:tcPr>
            <w:tcW w:w="238" w:type="pct"/>
            <w:shd w:val="clear" w:color="auto" w:fill="auto"/>
            <w:vAlign w:val="center"/>
            <w:hideMark/>
          </w:tcPr>
          <w:p w:rsidR="00F20B6A" w:rsidRPr="00B718CC" w:rsidRDefault="00F20B6A" w:rsidP="008B3114">
            <w:pPr>
              <w:widowControl/>
              <w:jc w:val="center"/>
              <w:rPr>
                <w:b/>
                <w:bCs/>
                <w:kern w:val="0"/>
                <w:sz w:val="24"/>
              </w:rPr>
            </w:pPr>
            <w:r w:rsidRPr="0025690F">
              <w:rPr>
                <w:b/>
                <w:bCs/>
                <w:kern w:val="0"/>
                <w:sz w:val="24"/>
              </w:rPr>
              <w:t>序</w:t>
            </w:r>
            <w:r w:rsidRPr="00B718CC">
              <w:rPr>
                <w:b/>
                <w:bCs/>
                <w:kern w:val="0"/>
                <w:sz w:val="24"/>
              </w:rPr>
              <w:t>号</w:t>
            </w:r>
          </w:p>
        </w:tc>
        <w:tc>
          <w:tcPr>
            <w:tcW w:w="450" w:type="pct"/>
            <w:shd w:val="clear" w:color="auto" w:fill="auto"/>
            <w:vAlign w:val="center"/>
          </w:tcPr>
          <w:p w:rsidR="00F20B6A" w:rsidRPr="0025690F" w:rsidRDefault="00F20B6A" w:rsidP="008B3114">
            <w:pPr>
              <w:widowControl/>
              <w:jc w:val="center"/>
              <w:rPr>
                <w:b/>
                <w:bCs/>
                <w:kern w:val="0"/>
                <w:sz w:val="24"/>
              </w:rPr>
            </w:pPr>
            <w:r w:rsidRPr="0025690F">
              <w:rPr>
                <w:b/>
                <w:bCs/>
                <w:kern w:val="0"/>
                <w:sz w:val="24"/>
              </w:rPr>
              <w:t>项目编号</w:t>
            </w:r>
          </w:p>
        </w:tc>
        <w:tc>
          <w:tcPr>
            <w:tcW w:w="250" w:type="pct"/>
            <w:shd w:val="clear" w:color="auto" w:fill="auto"/>
            <w:vAlign w:val="center"/>
            <w:hideMark/>
          </w:tcPr>
          <w:p w:rsidR="00F20B6A" w:rsidRPr="00B718CC" w:rsidRDefault="00F20B6A" w:rsidP="008B3114">
            <w:pPr>
              <w:widowControl/>
              <w:jc w:val="center"/>
              <w:rPr>
                <w:b/>
                <w:bCs/>
                <w:kern w:val="0"/>
                <w:sz w:val="24"/>
              </w:rPr>
            </w:pPr>
            <w:r w:rsidRPr="00B718CC">
              <w:rPr>
                <w:b/>
                <w:bCs/>
                <w:kern w:val="0"/>
                <w:sz w:val="24"/>
              </w:rPr>
              <w:t>类别</w:t>
            </w:r>
          </w:p>
        </w:tc>
        <w:tc>
          <w:tcPr>
            <w:tcW w:w="349" w:type="pct"/>
            <w:shd w:val="clear" w:color="auto" w:fill="auto"/>
            <w:vAlign w:val="center"/>
            <w:hideMark/>
          </w:tcPr>
          <w:p w:rsidR="00F20B6A" w:rsidRPr="00B718CC" w:rsidRDefault="00F20B6A" w:rsidP="008B3114">
            <w:pPr>
              <w:widowControl/>
              <w:jc w:val="center"/>
              <w:rPr>
                <w:b/>
                <w:bCs/>
                <w:kern w:val="0"/>
                <w:sz w:val="24"/>
              </w:rPr>
            </w:pPr>
            <w:r w:rsidRPr="00B718CC">
              <w:rPr>
                <w:b/>
                <w:bCs/>
                <w:kern w:val="0"/>
                <w:sz w:val="24"/>
              </w:rPr>
              <w:t>负责人</w:t>
            </w:r>
          </w:p>
        </w:tc>
        <w:tc>
          <w:tcPr>
            <w:tcW w:w="750" w:type="pct"/>
            <w:shd w:val="clear" w:color="auto" w:fill="auto"/>
            <w:vAlign w:val="center"/>
            <w:hideMark/>
          </w:tcPr>
          <w:p w:rsidR="00F20B6A" w:rsidRPr="00B718CC" w:rsidRDefault="00F20B6A" w:rsidP="008B3114">
            <w:pPr>
              <w:widowControl/>
              <w:jc w:val="center"/>
              <w:rPr>
                <w:b/>
                <w:bCs/>
                <w:kern w:val="0"/>
                <w:sz w:val="24"/>
              </w:rPr>
            </w:pPr>
            <w:r w:rsidRPr="00B718CC">
              <w:rPr>
                <w:b/>
                <w:bCs/>
                <w:kern w:val="0"/>
                <w:sz w:val="24"/>
              </w:rPr>
              <w:t>工作单位</w:t>
            </w:r>
          </w:p>
        </w:tc>
        <w:tc>
          <w:tcPr>
            <w:tcW w:w="2151" w:type="pct"/>
            <w:shd w:val="clear" w:color="auto" w:fill="auto"/>
            <w:vAlign w:val="center"/>
            <w:hideMark/>
          </w:tcPr>
          <w:p w:rsidR="00F20B6A" w:rsidRPr="00B718CC" w:rsidRDefault="00F20B6A" w:rsidP="008B3114">
            <w:pPr>
              <w:widowControl/>
              <w:jc w:val="center"/>
              <w:rPr>
                <w:b/>
                <w:bCs/>
                <w:kern w:val="0"/>
                <w:sz w:val="24"/>
              </w:rPr>
            </w:pPr>
            <w:r w:rsidRPr="00B718CC">
              <w:rPr>
                <w:b/>
                <w:bCs/>
                <w:kern w:val="0"/>
                <w:sz w:val="24"/>
              </w:rPr>
              <w:t>课题名称</w:t>
            </w:r>
          </w:p>
        </w:tc>
        <w:tc>
          <w:tcPr>
            <w:tcW w:w="300" w:type="pct"/>
            <w:shd w:val="clear" w:color="auto" w:fill="auto"/>
            <w:vAlign w:val="center"/>
            <w:hideMark/>
          </w:tcPr>
          <w:p w:rsidR="00F20B6A" w:rsidRPr="00B718CC" w:rsidRDefault="00F20B6A" w:rsidP="008B3114">
            <w:pPr>
              <w:widowControl/>
              <w:jc w:val="center"/>
              <w:rPr>
                <w:b/>
                <w:bCs/>
                <w:kern w:val="0"/>
                <w:sz w:val="24"/>
              </w:rPr>
            </w:pPr>
            <w:r w:rsidRPr="00B718CC">
              <w:rPr>
                <w:b/>
                <w:bCs/>
                <w:kern w:val="0"/>
                <w:sz w:val="24"/>
              </w:rPr>
              <w:t>金额（万）</w:t>
            </w:r>
          </w:p>
        </w:tc>
        <w:tc>
          <w:tcPr>
            <w:tcW w:w="511" w:type="pct"/>
            <w:shd w:val="clear" w:color="auto" w:fill="auto"/>
            <w:vAlign w:val="center"/>
            <w:hideMark/>
          </w:tcPr>
          <w:p w:rsidR="00F20B6A" w:rsidRPr="00B718CC" w:rsidRDefault="00F20B6A" w:rsidP="008B3114">
            <w:pPr>
              <w:widowControl/>
              <w:jc w:val="center"/>
              <w:rPr>
                <w:b/>
                <w:bCs/>
                <w:kern w:val="0"/>
                <w:sz w:val="24"/>
              </w:rPr>
            </w:pPr>
            <w:r w:rsidRPr="00B718CC">
              <w:rPr>
                <w:b/>
                <w:bCs/>
                <w:kern w:val="0"/>
                <w:sz w:val="24"/>
              </w:rPr>
              <w:t>执行时间</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GZK1201901</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刘晓龙</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苏州大学附属第二医院</w:t>
            </w:r>
          </w:p>
        </w:tc>
        <w:tc>
          <w:tcPr>
            <w:tcW w:w="2151" w:type="pct"/>
            <w:shd w:val="clear" w:color="000000" w:fill="FFFFFF"/>
            <w:vAlign w:val="center"/>
            <w:hideMark/>
          </w:tcPr>
          <w:p w:rsidR="00F20B6A" w:rsidRPr="00B718CC" w:rsidRDefault="00F20B6A" w:rsidP="008B3114">
            <w:pPr>
              <w:widowControl/>
              <w:jc w:val="center"/>
              <w:rPr>
                <w:kern w:val="0"/>
                <w:sz w:val="24"/>
              </w:rPr>
            </w:pPr>
            <w:proofErr w:type="spellStart"/>
            <w:r w:rsidRPr="00B718CC">
              <w:rPr>
                <w:kern w:val="0"/>
                <w:sz w:val="24"/>
              </w:rPr>
              <w:t>Miwi</w:t>
            </w:r>
            <w:proofErr w:type="spellEnd"/>
            <w:r w:rsidRPr="00B718CC">
              <w:rPr>
                <w:kern w:val="0"/>
                <w:sz w:val="24"/>
              </w:rPr>
              <w:t xml:space="preserve">/piR1851-Lsm4 </w:t>
            </w:r>
            <w:r w:rsidRPr="00B718CC">
              <w:rPr>
                <w:kern w:val="0"/>
                <w:sz w:val="24"/>
              </w:rPr>
              <w:t>信号通路在电离辐射诱发精子损伤中的作用及机制研究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885"/>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2</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GZK1201902</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胡</w:t>
            </w:r>
            <w:r w:rsidRPr="00B718CC">
              <w:rPr>
                <w:kern w:val="0"/>
                <w:sz w:val="24"/>
              </w:rPr>
              <w:t xml:space="preserve">  </w:t>
            </w:r>
            <w:r w:rsidRPr="00B718CC">
              <w:rPr>
                <w:kern w:val="0"/>
                <w:sz w:val="24"/>
              </w:rPr>
              <w:t>广</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苏州大学基础医学与生物科学学院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基于生物网络的</w:t>
            </w:r>
            <w:r w:rsidRPr="00B718CC">
              <w:rPr>
                <w:kern w:val="0"/>
                <w:sz w:val="24"/>
              </w:rPr>
              <w:t>α</w:t>
            </w:r>
            <w:r w:rsidRPr="00B718CC">
              <w:rPr>
                <w:kern w:val="0"/>
                <w:sz w:val="24"/>
              </w:rPr>
              <w:t>离子辐射诱导的肺癌发生发展机制的模型构建及应用</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3</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GZK1201903</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proofErr w:type="gramStart"/>
            <w:r w:rsidRPr="00B718CC">
              <w:rPr>
                <w:kern w:val="0"/>
                <w:sz w:val="24"/>
              </w:rPr>
              <w:t>沈明敬</w:t>
            </w:r>
            <w:proofErr w:type="gramEnd"/>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苏州大学附属第二医院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靶向抑制肿瘤相关巨噬细胞旁分泌</w:t>
            </w:r>
            <w:r w:rsidRPr="00B718CC">
              <w:rPr>
                <w:kern w:val="0"/>
                <w:sz w:val="24"/>
              </w:rPr>
              <w:t xml:space="preserve"> CXCL5</w:t>
            </w:r>
            <w:r w:rsidRPr="00B718CC">
              <w:rPr>
                <w:kern w:val="0"/>
                <w:sz w:val="24"/>
              </w:rPr>
              <w:t>下调</w:t>
            </w:r>
            <w:r w:rsidRPr="00B718CC">
              <w:rPr>
                <w:kern w:val="0"/>
                <w:sz w:val="24"/>
              </w:rPr>
              <w:t xml:space="preserve"> PD-L1 </w:t>
            </w:r>
            <w:r w:rsidRPr="00B718CC">
              <w:rPr>
                <w:kern w:val="0"/>
                <w:sz w:val="24"/>
              </w:rPr>
              <w:t>增加肺癌核素放射敏感性的机制研究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4</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GZK1201904</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魏文祥</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w:t>
            </w:r>
            <w:r w:rsidRPr="00EE25A2">
              <w:rPr>
                <w:rFonts w:hint="eastAsia"/>
                <w:kern w:val="0"/>
                <w:sz w:val="24"/>
              </w:rPr>
              <w:t>基础医学与生物科学学院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 xml:space="preserve">ELP3 </w:t>
            </w:r>
            <w:r w:rsidRPr="00B718CC">
              <w:rPr>
                <w:kern w:val="0"/>
                <w:sz w:val="24"/>
              </w:rPr>
              <w:t>的组蛋白乙酰化修饰对肝癌</w:t>
            </w:r>
            <w:r w:rsidRPr="00B718CC">
              <w:rPr>
                <w:kern w:val="0"/>
                <w:sz w:val="24"/>
              </w:rPr>
              <w:t xml:space="preserve"> DNA </w:t>
            </w:r>
            <w:r w:rsidRPr="00B718CC">
              <w:rPr>
                <w:kern w:val="0"/>
                <w:sz w:val="24"/>
              </w:rPr>
              <w:t>损伤修复的作用及其抗辐射的分子机制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5</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GZK1201905</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章</w:t>
            </w:r>
            <w:r w:rsidRPr="00B718CC">
              <w:rPr>
                <w:kern w:val="0"/>
                <w:sz w:val="24"/>
              </w:rPr>
              <w:t xml:space="preserve">  </w:t>
            </w:r>
            <w:proofErr w:type="gramStart"/>
            <w:r w:rsidRPr="00B718CC">
              <w:rPr>
                <w:kern w:val="0"/>
                <w:sz w:val="24"/>
              </w:rPr>
              <w:t>斌</w:t>
            </w:r>
            <w:proofErr w:type="gramEnd"/>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苏州大学附属第一医院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碘标记</w:t>
            </w:r>
            <w:r w:rsidRPr="00B718CC">
              <w:rPr>
                <w:kern w:val="0"/>
                <w:sz w:val="24"/>
              </w:rPr>
              <w:t xml:space="preserve"> RGD-HSA@ABZ </w:t>
            </w:r>
            <w:r w:rsidRPr="00B718CC">
              <w:rPr>
                <w:kern w:val="0"/>
                <w:sz w:val="24"/>
              </w:rPr>
              <w:t>纳米颗粒靶向诊治乳腺癌实验研究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3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6</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GZK1201906</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王利</w:t>
            </w:r>
            <w:proofErr w:type="gramStart"/>
            <w:r w:rsidRPr="00B718CC">
              <w:rPr>
                <w:kern w:val="0"/>
                <w:sz w:val="24"/>
              </w:rPr>
              <w:t>利</w:t>
            </w:r>
            <w:proofErr w:type="gramEnd"/>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苏州大学附属第一医院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虎杖</w:t>
            </w:r>
            <w:proofErr w:type="gramStart"/>
            <w:r w:rsidRPr="00B718CC">
              <w:rPr>
                <w:kern w:val="0"/>
                <w:sz w:val="24"/>
              </w:rPr>
              <w:t>苷</w:t>
            </w:r>
            <w:proofErr w:type="gramEnd"/>
            <w:r w:rsidRPr="00B718CC">
              <w:rPr>
                <w:kern w:val="0"/>
                <w:sz w:val="24"/>
              </w:rPr>
              <w:t>石墨</w:t>
            </w:r>
            <w:proofErr w:type="gramStart"/>
            <w:r w:rsidRPr="00B718CC">
              <w:rPr>
                <w:kern w:val="0"/>
                <w:sz w:val="24"/>
              </w:rPr>
              <w:t>烯</w:t>
            </w:r>
            <w:proofErr w:type="gramEnd"/>
            <w:r w:rsidRPr="00B718CC">
              <w:rPr>
                <w:kern w:val="0"/>
                <w:sz w:val="24"/>
              </w:rPr>
              <w:t>水凝胶通过调节肠道细菌</w:t>
            </w:r>
            <w:proofErr w:type="spellStart"/>
            <w:r w:rsidRPr="00B718CC">
              <w:rPr>
                <w:kern w:val="0"/>
                <w:sz w:val="24"/>
              </w:rPr>
              <w:t>Roseburia</w:t>
            </w:r>
            <w:proofErr w:type="spellEnd"/>
            <w:r w:rsidRPr="00B718CC">
              <w:rPr>
                <w:kern w:val="0"/>
                <w:sz w:val="24"/>
              </w:rPr>
              <w:t xml:space="preserve"> </w:t>
            </w:r>
            <w:r w:rsidRPr="00B718CC">
              <w:rPr>
                <w:kern w:val="0"/>
                <w:sz w:val="24"/>
              </w:rPr>
              <w:t>及其代谢产物</w:t>
            </w:r>
            <w:r w:rsidRPr="00B718CC">
              <w:rPr>
                <w:kern w:val="0"/>
                <w:sz w:val="24"/>
              </w:rPr>
              <w:t xml:space="preserve"> 5-HIAA </w:t>
            </w:r>
            <w:r w:rsidRPr="00B718CC">
              <w:rPr>
                <w:kern w:val="0"/>
                <w:sz w:val="24"/>
              </w:rPr>
              <w:t>救治肠道放射损伤的研究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57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7</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GZK1201907</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张子祥</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苏州大学附属第一医院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乳铁蛋白通过肠道菌群防治放射性肠损伤</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57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8</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GZK1201908</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王优</w:t>
            </w:r>
            <w:proofErr w:type="gramStart"/>
            <w:r w:rsidRPr="00B718CC">
              <w:rPr>
                <w:kern w:val="0"/>
                <w:sz w:val="24"/>
              </w:rPr>
              <w:t>优</w:t>
            </w:r>
            <w:proofErr w:type="gramEnd"/>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苏州大学附属第二医院</w:t>
            </w:r>
          </w:p>
        </w:tc>
        <w:tc>
          <w:tcPr>
            <w:tcW w:w="2151" w:type="pct"/>
            <w:shd w:val="clear" w:color="000000" w:fill="FFFFFF"/>
            <w:vAlign w:val="center"/>
            <w:hideMark/>
          </w:tcPr>
          <w:p w:rsidR="00F20B6A" w:rsidRPr="00B718CC" w:rsidRDefault="00F20B6A" w:rsidP="008B3114">
            <w:pPr>
              <w:widowControl/>
              <w:jc w:val="center"/>
              <w:rPr>
                <w:kern w:val="0"/>
                <w:sz w:val="24"/>
              </w:rPr>
            </w:pPr>
            <w:proofErr w:type="gramStart"/>
            <w:r w:rsidRPr="00B718CC">
              <w:rPr>
                <w:kern w:val="0"/>
                <w:sz w:val="24"/>
              </w:rPr>
              <w:t>事故致铀中毒</w:t>
            </w:r>
            <w:proofErr w:type="gramEnd"/>
            <w:r w:rsidRPr="00B718CC">
              <w:rPr>
                <w:kern w:val="0"/>
                <w:sz w:val="24"/>
              </w:rPr>
              <w:t>患者的遗传效应研究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9</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GZK1201909</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proofErr w:type="gramStart"/>
            <w:r w:rsidRPr="00B718CC">
              <w:rPr>
                <w:kern w:val="0"/>
                <w:sz w:val="24"/>
              </w:rPr>
              <w:t>程侠菊</w:t>
            </w:r>
            <w:proofErr w:type="gramEnd"/>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苏州大学生物医学研究所</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 xml:space="preserve">SPECT/CT </w:t>
            </w:r>
            <w:r w:rsidRPr="00B718CC">
              <w:rPr>
                <w:kern w:val="0"/>
                <w:sz w:val="24"/>
              </w:rPr>
              <w:t>成像引导下的</w:t>
            </w:r>
            <w:r w:rsidRPr="00B718CC">
              <w:rPr>
                <w:kern w:val="0"/>
                <w:sz w:val="24"/>
              </w:rPr>
              <w:t xml:space="preserve"> PD1 </w:t>
            </w:r>
            <w:r w:rsidRPr="00B718CC">
              <w:rPr>
                <w:kern w:val="0"/>
                <w:sz w:val="24"/>
              </w:rPr>
              <w:t>小分子抑制剂</w:t>
            </w:r>
            <w:r w:rsidRPr="00B718CC">
              <w:rPr>
                <w:kern w:val="0"/>
                <w:sz w:val="24"/>
              </w:rPr>
              <w:t xml:space="preserve"> </w:t>
            </w:r>
            <w:proofErr w:type="spellStart"/>
            <w:r w:rsidRPr="00B718CC">
              <w:rPr>
                <w:kern w:val="0"/>
                <w:sz w:val="24"/>
              </w:rPr>
              <w:t>PSdis</w:t>
            </w:r>
            <w:proofErr w:type="spellEnd"/>
            <w:r w:rsidRPr="00B718CC">
              <w:rPr>
                <w:kern w:val="0"/>
                <w:sz w:val="24"/>
              </w:rPr>
              <w:t xml:space="preserve"> </w:t>
            </w:r>
            <w:r w:rsidRPr="00B718CC">
              <w:rPr>
                <w:kern w:val="0"/>
                <w:sz w:val="24"/>
              </w:rPr>
              <w:t>肿瘤免疫治疗研究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3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lastRenderedPageBreak/>
              <w:t>10</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GZK1201910</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A</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谷子</w:t>
            </w:r>
            <w:r w:rsidRPr="00B718CC">
              <w:rPr>
                <w:kern w:val="0"/>
                <w:sz w:val="24"/>
              </w:rPr>
              <w:t xml:space="preserve">( Sophia </w:t>
            </w:r>
            <w:proofErr w:type="spellStart"/>
            <w:r w:rsidRPr="00B718CC">
              <w:rPr>
                <w:kern w:val="0"/>
                <w:sz w:val="24"/>
              </w:rPr>
              <w:t>Gu</w:t>
            </w:r>
            <w:proofErr w:type="spellEnd"/>
            <w:r w:rsidRPr="00B718CC">
              <w:rPr>
                <w:kern w:val="0"/>
                <w:sz w:val="24"/>
              </w:rPr>
              <w:t>)</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新南威尔士大学</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放射性标记的</w:t>
            </w:r>
            <w:proofErr w:type="gramStart"/>
            <w:r w:rsidRPr="00B718CC">
              <w:rPr>
                <w:kern w:val="0"/>
                <w:sz w:val="24"/>
              </w:rPr>
              <w:t>锰基层状双</w:t>
            </w:r>
            <w:proofErr w:type="gramEnd"/>
            <w:r w:rsidRPr="00B718CC">
              <w:rPr>
                <w:kern w:val="0"/>
                <w:sz w:val="24"/>
              </w:rPr>
              <w:t>氢氧化物纳米材料用于乳腺癌靶向双模态成像</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5</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57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11</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GZK1201911</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刘鹏飞</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江阴市人民医院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PAX2</w:t>
            </w:r>
            <w:r w:rsidRPr="00B718CC">
              <w:rPr>
                <w:kern w:val="0"/>
                <w:sz w:val="24"/>
              </w:rPr>
              <w:t>在食管鳞癌中过表达机制及其对放射敏感性的影响</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12</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GZK1201912</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张</w:t>
            </w:r>
            <w:r w:rsidRPr="00B718CC">
              <w:rPr>
                <w:kern w:val="0"/>
                <w:sz w:val="24"/>
              </w:rPr>
              <w:t xml:space="preserve">  </w:t>
            </w:r>
            <w:r w:rsidRPr="00B718CC">
              <w:rPr>
                <w:kern w:val="0"/>
                <w:sz w:val="24"/>
              </w:rPr>
              <w:t>积</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苏州大学附属第二医院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放射和</w:t>
            </w:r>
            <w:r w:rsidRPr="00B718CC">
              <w:rPr>
                <w:kern w:val="0"/>
                <w:sz w:val="24"/>
              </w:rPr>
              <w:t xml:space="preserve"> PD-1 </w:t>
            </w:r>
            <w:r w:rsidRPr="00B718CC">
              <w:rPr>
                <w:kern w:val="0"/>
                <w:sz w:val="24"/>
              </w:rPr>
              <w:t>抗体联合治疗泪腺腺样囊性癌前期评估研究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855"/>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13</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GZK1201913</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任雪梅</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中国科学院合肥物质科学研究院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 xml:space="preserve">238U/227Th </w:t>
            </w:r>
            <w:r w:rsidRPr="00B718CC">
              <w:rPr>
                <w:kern w:val="0"/>
                <w:sz w:val="24"/>
              </w:rPr>
              <w:t>与氧化石墨</w:t>
            </w:r>
            <w:proofErr w:type="gramStart"/>
            <w:r w:rsidRPr="00B718CC">
              <w:rPr>
                <w:kern w:val="0"/>
                <w:sz w:val="24"/>
              </w:rPr>
              <w:t>烯</w:t>
            </w:r>
            <w:proofErr w:type="gramEnd"/>
            <w:r w:rsidRPr="00B718CC">
              <w:rPr>
                <w:kern w:val="0"/>
                <w:sz w:val="24"/>
              </w:rPr>
              <w:t>联合生物毒性及机理研究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57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14</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GZK1201914</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杨晓东</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苏州大学附属第二医院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 xml:space="preserve">HMGB1 </w:t>
            </w:r>
            <w:r w:rsidRPr="00B718CC">
              <w:rPr>
                <w:kern w:val="0"/>
                <w:sz w:val="24"/>
              </w:rPr>
              <w:t>作为直肠癌放疗调节靶蛋白及其机制研究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15</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GZK1201915</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文</w:t>
            </w:r>
            <w:r w:rsidRPr="00B718CC">
              <w:rPr>
                <w:kern w:val="0"/>
                <w:sz w:val="24"/>
              </w:rPr>
              <w:t xml:space="preserve">  </w:t>
            </w:r>
            <w:r w:rsidRPr="00B718CC">
              <w:rPr>
                <w:kern w:val="0"/>
                <w:sz w:val="24"/>
              </w:rPr>
              <w:t>玲</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苏州大学附属第一医院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基于上转换发光分子影像探针的乳腺癌淋巴结转移成像及放射</w:t>
            </w:r>
            <w:r w:rsidRPr="00B718CC">
              <w:rPr>
                <w:kern w:val="0"/>
                <w:sz w:val="24"/>
              </w:rPr>
              <w:t>-</w:t>
            </w:r>
            <w:r w:rsidRPr="00B718CC">
              <w:rPr>
                <w:kern w:val="0"/>
                <w:sz w:val="24"/>
              </w:rPr>
              <w:t>免疫联合治疗研究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16</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GZK1201916</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张</w:t>
            </w:r>
            <w:r w:rsidRPr="00B718CC">
              <w:rPr>
                <w:kern w:val="0"/>
                <w:sz w:val="24"/>
              </w:rPr>
              <w:t xml:space="preserve">  </w:t>
            </w:r>
            <w:proofErr w:type="gramStart"/>
            <w:r w:rsidRPr="00B718CC">
              <w:rPr>
                <w:kern w:val="0"/>
                <w:sz w:val="24"/>
              </w:rPr>
              <w:t>妤</w:t>
            </w:r>
            <w:proofErr w:type="gramEnd"/>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苏州大学附属第一医院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基于肿瘤微环境响应型金纳米探针的光声</w:t>
            </w:r>
            <w:r w:rsidRPr="00B718CC">
              <w:rPr>
                <w:kern w:val="0"/>
                <w:sz w:val="24"/>
              </w:rPr>
              <w:t xml:space="preserve">/CT </w:t>
            </w:r>
            <w:r w:rsidRPr="00B718CC">
              <w:rPr>
                <w:kern w:val="0"/>
                <w:sz w:val="24"/>
              </w:rPr>
              <w:t>导航下肿瘤放疗增敏研究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315"/>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17</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GZK1201917</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张</w:t>
            </w:r>
            <w:r w:rsidRPr="00B718CC">
              <w:rPr>
                <w:kern w:val="0"/>
                <w:sz w:val="24"/>
              </w:rPr>
              <w:t xml:space="preserve">  </w:t>
            </w:r>
            <w:r w:rsidRPr="00B718CC">
              <w:rPr>
                <w:kern w:val="0"/>
                <w:sz w:val="24"/>
              </w:rPr>
              <w:t>勇</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潍坊医学院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用于核应急和医学辐射伤害的膏剂的研究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57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18</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GZK1201918</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proofErr w:type="gramStart"/>
            <w:r w:rsidRPr="00B718CC">
              <w:rPr>
                <w:kern w:val="0"/>
                <w:sz w:val="24"/>
              </w:rPr>
              <w:t>陆赛全</w:t>
            </w:r>
            <w:proofErr w:type="gramEnd"/>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复旦大学附属肿瘤医院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基于一项随机、多中心、三期临床试验数据的食管癌放射治疗中正常肺组织放射性剂量与肺毒性相关性研究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855"/>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19</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GZK1201919</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汤在祥</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苏州大学医学部公共卫生学院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基于泛癌症图谱的放疗敏感性基因挖掘方法与相关基因验证研究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r w:rsidR="00F20B6A" w:rsidRPr="00B12BE8" w:rsidTr="008B3114">
        <w:trPr>
          <w:trHeight w:val="600"/>
        </w:trPr>
        <w:tc>
          <w:tcPr>
            <w:tcW w:w="238"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20</w:t>
            </w:r>
          </w:p>
        </w:tc>
        <w:tc>
          <w:tcPr>
            <w:tcW w:w="450" w:type="pct"/>
            <w:shd w:val="clear" w:color="000000" w:fill="FFFFFF"/>
            <w:vAlign w:val="center"/>
          </w:tcPr>
          <w:p w:rsidR="00F20B6A" w:rsidRPr="0025690F" w:rsidRDefault="00F20B6A" w:rsidP="008B3114">
            <w:pPr>
              <w:widowControl/>
              <w:jc w:val="center"/>
              <w:rPr>
                <w:kern w:val="0"/>
                <w:sz w:val="24"/>
              </w:rPr>
            </w:pPr>
            <w:r w:rsidRPr="0025690F">
              <w:rPr>
                <w:kern w:val="0"/>
                <w:sz w:val="24"/>
              </w:rPr>
              <w:t>GZK1201920</w:t>
            </w:r>
          </w:p>
        </w:tc>
        <w:tc>
          <w:tcPr>
            <w:tcW w:w="2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B</w:t>
            </w:r>
          </w:p>
        </w:tc>
        <w:tc>
          <w:tcPr>
            <w:tcW w:w="349"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吴曙华</w:t>
            </w:r>
          </w:p>
        </w:tc>
        <w:tc>
          <w:tcPr>
            <w:tcW w:w="750"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苏州大学附属第二医院</w:t>
            </w:r>
          </w:p>
        </w:tc>
        <w:tc>
          <w:tcPr>
            <w:tcW w:w="2151" w:type="pct"/>
            <w:shd w:val="clear" w:color="000000" w:fill="FFFFFF"/>
            <w:vAlign w:val="center"/>
            <w:hideMark/>
          </w:tcPr>
          <w:p w:rsidR="00F20B6A" w:rsidRPr="00B718CC" w:rsidRDefault="00F20B6A" w:rsidP="008B3114">
            <w:pPr>
              <w:widowControl/>
              <w:jc w:val="center"/>
              <w:rPr>
                <w:kern w:val="0"/>
                <w:sz w:val="24"/>
              </w:rPr>
            </w:pPr>
            <w:r w:rsidRPr="00B718CC">
              <w:rPr>
                <w:kern w:val="0"/>
                <w:sz w:val="24"/>
              </w:rPr>
              <w:t>DNA-</w:t>
            </w:r>
            <w:proofErr w:type="spellStart"/>
            <w:r w:rsidRPr="00B718CC">
              <w:rPr>
                <w:kern w:val="0"/>
                <w:sz w:val="24"/>
              </w:rPr>
              <w:t>PKcs</w:t>
            </w:r>
            <w:proofErr w:type="spellEnd"/>
            <w:r w:rsidRPr="00B718CC">
              <w:rPr>
                <w:kern w:val="0"/>
                <w:sz w:val="24"/>
              </w:rPr>
              <w:t xml:space="preserve"> </w:t>
            </w:r>
            <w:r w:rsidRPr="00B718CC">
              <w:rPr>
                <w:kern w:val="0"/>
                <w:sz w:val="24"/>
              </w:rPr>
              <w:t>参与</w:t>
            </w:r>
            <w:r w:rsidRPr="00B718CC">
              <w:rPr>
                <w:kern w:val="0"/>
                <w:sz w:val="24"/>
              </w:rPr>
              <w:t xml:space="preserve"> DNA </w:t>
            </w:r>
            <w:r w:rsidRPr="00B718CC">
              <w:rPr>
                <w:kern w:val="0"/>
                <w:sz w:val="24"/>
              </w:rPr>
              <w:t>损伤偶联的细胞有丝分裂进程调控机制研究</w:t>
            </w:r>
          </w:p>
        </w:tc>
        <w:tc>
          <w:tcPr>
            <w:tcW w:w="300"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3</w:t>
            </w:r>
          </w:p>
        </w:tc>
        <w:tc>
          <w:tcPr>
            <w:tcW w:w="511" w:type="pct"/>
            <w:shd w:val="clear" w:color="auto" w:fill="auto"/>
            <w:vAlign w:val="center"/>
            <w:hideMark/>
          </w:tcPr>
          <w:p w:rsidR="00F20B6A" w:rsidRPr="00B718CC" w:rsidRDefault="00F20B6A" w:rsidP="008B3114">
            <w:pPr>
              <w:widowControl/>
              <w:jc w:val="center"/>
              <w:rPr>
                <w:kern w:val="0"/>
                <w:sz w:val="24"/>
              </w:rPr>
            </w:pPr>
            <w:r w:rsidRPr="00B718CC">
              <w:rPr>
                <w:kern w:val="0"/>
                <w:sz w:val="24"/>
              </w:rPr>
              <w:t>2019.06.01-2020.12</w:t>
            </w:r>
          </w:p>
        </w:tc>
      </w:tr>
    </w:tbl>
    <w:p w:rsidR="00F333EF" w:rsidRDefault="00F333EF"/>
    <w:sectPr w:rsidR="00F333EF" w:rsidSect="00F20B6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6A"/>
    <w:rsid w:val="00F20B6A"/>
    <w:rsid w:val="00F3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E18F"/>
  <w15:chartTrackingRefBased/>
  <w15:docId w15:val="{3355DE68-0CBE-4273-8304-498AE9F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B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2022-09-27T04:04:00Z</dcterms:created>
  <dcterms:modified xsi:type="dcterms:W3CDTF">2022-09-27T04:05:00Z</dcterms:modified>
</cp:coreProperties>
</file>